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F6" w:rsidRPr="00C223F3" w:rsidRDefault="004B279A" w:rsidP="00C223F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223F3">
        <w:rPr>
          <w:rFonts w:ascii="Times New Roman" w:hAnsi="Times New Roman" w:cs="Times New Roman"/>
          <w:sz w:val="24"/>
          <w:szCs w:val="24"/>
        </w:rPr>
        <w:t>ПОЛИТИКА ЗА СДЕЛКИ СЪС ЗАИНТЕРЕСОВАНИ И СВЪРЗАНИ ЛИЦА</w:t>
      </w:r>
    </w:p>
    <w:p w:rsidR="004B279A" w:rsidRPr="00C223F3" w:rsidRDefault="004B279A" w:rsidP="00C223F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223F3">
        <w:rPr>
          <w:rFonts w:ascii="Times New Roman" w:hAnsi="Times New Roman" w:cs="Times New Roman"/>
          <w:sz w:val="24"/>
          <w:szCs w:val="24"/>
          <w:lang w:val="bg-BG"/>
        </w:rPr>
        <w:t>НА „БЪЛГАРСКИ ТРАНСПОРТЕН ХОЛДИНГ“ АД</w:t>
      </w:r>
    </w:p>
    <w:p w:rsidR="00C223F3" w:rsidRDefault="00C223F3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Чл. 1. Управителният съвет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предварително проучва и одобрява осъществяването на сделки от дружеството или неговите дъщерни предприятия, които могат да окажат съществено влияние върху финансовите позиции на </w:t>
      </w:r>
      <w:r w:rsidR="000C361E"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bookmarkStart w:id="0" w:name="_GoBack"/>
      <w:bookmarkEnd w:id="0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3F3" w:rsidRDefault="00C223F3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2.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Решенията за инвестиции в други дружества се придружават от обосновани и мотивирани становища и анализ на очаквания ефект.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Управителният съвет</w:t>
      </w:r>
      <w:r w:rsidRPr="00C223F3">
        <w:rPr>
          <w:rFonts w:ascii="Times New Roman" w:hAnsi="Times New Roman" w:cs="Times New Roman"/>
          <w:sz w:val="24"/>
          <w:szCs w:val="24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обръща специално внимание на сделките, в които един или повече от неговите членове имат собствен интерес или на свързани с тях лица. </w:t>
      </w:r>
    </w:p>
    <w:p w:rsidR="00C223F3" w:rsidRDefault="00FA79B2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ИЗБЯГВАНЕ И РАЗКРИВАНЕ НА КОНФЛИКТИ НА ИНТЕРЕСИ</w:t>
      </w:r>
    </w:p>
    <w:p w:rsidR="00C223F3" w:rsidRDefault="00C223F3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3.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Потенциален конфликт на интереси съществува тогава, когато дружеството възнамерява да осъществи сделка с юридическо лице, в което член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или свързани (заинтересовани) с него лица имат финансов интерес или са членове на управителен или надзорен орган на </w:t>
      </w:r>
      <w:r>
        <w:rPr>
          <w:rFonts w:ascii="Times New Roman" w:hAnsi="Times New Roman" w:cs="Times New Roman"/>
          <w:sz w:val="24"/>
          <w:szCs w:val="24"/>
          <w:lang w:val="bg-BG"/>
        </w:rPr>
        <w:t>насрещната страна</w:t>
      </w:r>
      <w:r w:rsidR="004B279A" w:rsidRPr="00C2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F3" w:rsidRDefault="00C223F3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4.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Заинтересовано лице е всеки член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, включително лицата - представители на юридическо лице; акционер, който пряко и/или непряко притежава най-малко 25 на сто от гласовете в общото събрание на дружеството или го контролира, както и свързаните с тях лица; при сделки на дъщерно дружество заинтересовано лице е всеки член на </w:t>
      </w:r>
      <w:r w:rsidR="000D626C"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на дъщерното дружество, включително лицата - представители на юридическо лице; акционер, който пряко и/или непряко притежава най-малко 25 на сто от гласовете в общото събрание на дружеството както и свързаните с тях лица; когато те: </w:t>
      </w:r>
    </w:p>
    <w:p w:rsidR="00C223F3" w:rsidRDefault="004B279A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23F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23F3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C223F3">
        <w:rPr>
          <w:rFonts w:ascii="Times New Roman" w:hAnsi="Times New Roman" w:cs="Times New Roman"/>
          <w:sz w:val="24"/>
          <w:szCs w:val="24"/>
        </w:rPr>
        <w:t xml:space="preserve"> страна, неин представител или посредник по сделката или в тяхна полза се извършват сделките или действията, или</w:t>
      </w:r>
      <w:r w:rsidRPr="00C22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D626C" w:rsidRDefault="004B279A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23F3">
        <w:rPr>
          <w:rFonts w:ascii="Times New Roman" w:hAnsi="Times New Roman" w:cs="Times New Roman"/>
          <w:sz w:val="24"/>
          <w:szCs w:val="24"/>
        </w:rPr>
        <w:t xml:space="preserve">2. притежават пряко и/или непряко поне 25 на сто от гласовете в общото събрание или контролират юридическо лице, което е насрещна страна, неин представител или посредник по сделката или в чиято полза се извършват сделките или действията; </w:t>
      </w:r>
    </w:p>
    <w:p w:rsidR="000D626C" w:rsidRDefault="004B279A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23F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223F3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C223F3">
        <w:rPr>
          <w:rFonts w:ascii="Times New Roman" w:hAnsi="Times New Roman" w:cs="Times New Roman"/>
          <w:sz w:val="24"/>
          <w:szCs w:val="24"/>
        </w:rPr>
        <w:t xml:space="preserve"> членове на управителни или контролни органи, представители на юридически лица, членове на такива органи или прокуристи на юридическо лице по т. 1 и 2. </w:t>
      </w:r>
    </w:p>
    <w:p w:rsidR="000D626C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5.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трябва да избягват и да не допускат реален или потенциален конфликт на интереси.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26C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6.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трябва незабавно да разкриват конфликти на интереси и да осигуряват на акционерите достъп до информация за сделки </w:t>
      </w:r>
      <w:r w:rsidR="004B279A" w:rsidRPr="00C223F3">
        <w:rPr>
          <w:rFonts w:ascii="Times New Roman" w:hAnsi="Times New Roman" w:cs="Times New Roman"/>
          <w:sz w:val="24"/>
          <w:szCs w:val="24"/>
        </w:rPr>
        <w:lastRenderedPageBreak/>
        <w:t xml:space="preserve">между дружеството и членове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управителния или контролен орган </w:t>
      </w:r>
      <w:r w:rsidR="004B279A" w:rsidRPr="00C223F3">
        <w:rPr>
          <w:rFonts w:ascii="Times New Roman" w:hAnsi="Times New Roman" w:cs="Times New Roman"/>
          <w:sz w:val="24"/>
          <w:szCs w:val="24"/>
        </w:rPr>
        <w:t>или свързани с него лица.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26C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7.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Ако член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или свързано с него лице е заинтересувано от поставен на разглеждане въпрос, той уведомява писмено председателя на съвета и не участва във вземането на съответното решение.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26C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8.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Членът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няма да се опитва да влияе по какъвто и да е начин на решението по тази сделка.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26C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9. Компетентният орган взема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решението при установяване на определени критерии за обективната справедливост на сделката, интереса на мениджърите в нея, евентуалната бъдеща полза за акционерите и </w:t>
      </w:r>
      <w:r>
        <w:rPr>
          <w:rFonts w:ascii="Times New Roman" w:hAnsi="Times New Roman" w:cs="Times New Roman"/>
          <w:sz w:val="24"/>
          <w:szCs w:val="24"/>
          <w:lang w:val="bg-BG"/>
        </w:rPr>
        <w:t>обосновава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степента на значимост на сделката за интересите и постигане на целите на дружеството. </w:t>
      </w:r>
    </w:p>
    <w:p w:rsidR="000D626C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10.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В решението се посочват съществените условия на сделката, включително страни, предмет и стойност, очаквана печалба, както и в чия полза се извършва сделката.</w:t>
      </w:r>
      <w:proofErr w:type="gramEnd"/>
    </w:p>
    <w:p w:rsidR="000D626C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Чл. 11.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Лицата</w:t>
      </w:r>
      <w:r w:rsidR="004B279A" w:rsidRPr="00C223F3">
        <w:rPr>
          <w:rFonts w:ascii="Times New Roman" w:hAnsi="Times New Roman" w:cs="Times New Roman"/>
          <w:sz w:val="24"/>
          <w:szCs w:val="24"/>
        </w:rPr>
        <w:t>, които управляват и представляват дружеството, без да бъдат изрично овластени за това от Общото събрание на акционерите, не могат да извършват сделки, в резултат на които дружеството придобива, прехвърля, получава или предоставя за ползване или като обезпечение под каквато</w:t>
      </w:r>
      <w:r w:rsidR="004B279A" w:rsidRPr="00C22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>и да е форма активи на обща стойност над 1/3 от по-ниската стойност на активите съгласно последния одитиран или последния изготвен счетоводен баланс на дружеството или над 2 на сто от по-ниската стойност на активите, съгласно последния одитиран или последния изготвен счетоводен баланс на дружеството, когато в сделките участват заинтересовани лица.</w:t>
      </w:r>
    </w:p>
    <w:p w:rsidR="000D626C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Чл. 12.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Лицата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, които управляват и представляват дружеството, без да бъдат изрично овластени за това от Общото събрание на акционерите, не могат да извършват сделки, в резултат на които възникват задължения за дружеството към едно лице или към свързани лица на обща стойност над 1/3 от по-ниската стойност на активите съгласно последния одитиран или последния изготвен счетоводен баланс на дружеството, а когато задълженията възникват към заинтересовани лица или в полза на заинтересовани лица – над 2 на сто от по-ниската стойност на активите, съгласно последния одитиран или последния изготвен счетоводен баланс на дружеството. </w:t>
      </w:r>
    </w:p>
    <w:p w:rsidR="003A6850" w:rsidRDefault="000D626C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Чл. 13. Лицата</w:t>
      </w:r>
      <w:r w:rsidR="004B279A" w:rsidRPr="00C223F3">
        <w:rPr>
          <w:rFonts w:ascii="Times New Roman" w:hAnsi="Times New Roman" w:cs="Times New Roman"/>
          <w:sz w:val="24"/>
          <w:szCs w:val="24"/>
        </w:rPr>
        <w:t>, които управляват и представляват дружеството, без да бъдат изрично овластени за това от общото събрание на акционерите, не могат да извършват сделки, в резултат на които вземанията на дружеството към едно лице или към свързани лица надхвърлят 1/3 от по-ниската стойност на активите съгласно последния одитиран или последния изготвен счетоводен баланс на дружеството, а когато длъжници на дружеството са заинтересовани лица – над 1 0 на сто от пониската стойност на активите, съгласно последния одитиран или последния изготвен счетоводен баланс на дружеството.</w:t>
      </w:r>
    </w:p>
    <w:p w:rsidR="003A6850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Чл. 14.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Сделките на </w:t>
      </w:r>
      <w:r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с участието на заинтересовани лица, извън горепосочените, подлежат на предварително одобрение от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орган на дружеството</w:t>
      </w:r>
      <w:r w:rsidR="004B279A" w:rsidRPr="00C2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50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15. </w:t>
      </w:r>
      <w:r w:rsidR="004B279A" w:rsidRPr="00C223F3">
        <w:rPr>
          <w:rFonts w:ascii="Times New Roman" w:hAnsi="Times New Roman" w:cs="Times New Roman"/>
          <w:sz w:val="24"/>
          <w:szCs w:val="24"/>
        </w:rPr>
        <w:t>Сделки, които поотделно са под определените по-горе прагове, но в съвкупност водят до имуществена промяна, надвишаваща тези прагове, се разглеждат като едно цяло, ако са извършени в период три календарни години и в полза на едно лице или на свързани лица, съответно ако</w:t>
      </w:r>
      <w:r w:rsidR="004B279A" w:rsidRPr="00C22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страна по сделките е едно лице или свързани лица.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В тези случаи на одобрение от общото събрание на акционерите подлежи действието или сделката, с които се преминават определените прагове.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50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16.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За да бъде овластен от общото събрание на акционерите да извърши сделка по чл.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114, ал.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1 от ЗППЦК,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управителният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изготвя мотивиран доклад за целесъобразността и условията на сделката.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Докладът е част от материалите, предоставяни на акционерите при свикване на общото събрание.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50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17.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В случаите на придобиване или разпореждане с дълготрайни активи общото събрание взема решение с мнозинство 3/4 от представения капитал, а в останалите случаи – с обикновено мнозинство.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И в двата случая заинтересованите лица не могат да упражняват правото си на глас.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Изключение от приетата процедура се допуска в случаите на сделки, извършени при осъществяване на обичайната търговска дейност на дружеството, включително при сключване на договори за банкови кредити и предоставяне на обезпечения, освен ако в тях участват заинтересовани лица; когато холдингът кредитира дъщерно дружество или когато дъщерно дружество предоставя депозити на холдинга при условия не по-неблагоприятни от пазарните за страната; а също в случаите, когато е налице договор за съвместно предприятие. </w:t>
      </w:r>
    </w:p>
    <w:p w:rsidR="003A6850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18.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В случаите, когато дъщерно дружество предостави депозит на холдинга по горния ред, </w:t>
      </w:r>
      <w:r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 длъжно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да уведоми за това Комисията за финансов надзор по реда на закона.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50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19.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Сделките за разпореждане, в които участват заинтересовани лица и които надвишават определените по-горе прагове, могат да бъдат извършвани само по пазарна цена.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В такива случаи оценката се извършва от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орган на дружеството</w:t>
      </w:r>
      <w:r w:rsidR="004B279A" w:rsidRPr="00C223F3">
        <w:rPr>
          <w:rFonts w:ascii="Times New Roman" w:hAnsi="Times New Roman" w:cs="Times New Roman"/>
          <w:sz w:val="24"/>
          <w:szCs w:val="24"/>
        </w:rPr>
        <w:t>, а в определени от закона случаи – от независими експерти с необходимата квалификация и опит, определени от съвета на директорите.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50" w:rsidRDefault="00FA79B2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ДЕКЛАРИРАНЕ НА ИНФОРМАЦИЯ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50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20.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управителните и контролни органи </w:t>
      </w:r>
      <w:r w:rsidR="004B279A" w:rsidRPr="00C223F3">
        <w:rPr>
          <w:rFonts w:ascii="Times New Roman" w:hAnsi="Times New Roman" w:cs="Times New Roman"/>
          <w:sz w:val="24"/>
          <w:szCs w:val="24"/>
        </w:rPr>
        <w:t>са длъжни да декларират пред дружеството информация за юридическите лица, в които притежават пряко или непряко поне 25 на сто от гласовете в общото събрание или върху</w:t>
      </w:r>
      <w:r w:rsidR="004B279A" w:rsidRPr="00C22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които имат контрол; за юридическите лица, в чиито управителни или контролни органи участват, или чиито </w:t>
      </w:r>
      <w:r w:rsidR="004B279A" w:rsidRPr="00C223F3">
        <w:rPr>
          <w:rFonts w:ascii="Times New Roman" w:hAnsi="Times New Roman" w:cs="Times New Roman"/>
          <w:sz w:val="24"/>
          <w:szCs w:val="24"/>
        </w:rPr>
        <w:lastRenderedPageBreak/>
        <w:t xml:space="preserve">прокуристи са; за известните им настоящи и бъдещи сделки, за които считат, че могат да бъдат признати за заинтересовани лица. </w:t>
      </w:r>
      <w:r>
        <w:rPr>
          <w:rFonts w:ascii="Times New Roman" w:hAnsi="Times New Roman" w:cs="Times New Roman"/>
          <w:sz w:val="24"/>
          <w:szCs w:val="24"/>
          <w:lang w:val="bg-BG"/>
        </w:rPr>
        <w:t>Тази информация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те предоставят и на Комисията за финансов надзор и Българска фондова борса. </w:t>
      </w:r>
      <w:r>
        <w:rPr>
          <w:rFonts w:ascii="Times New Roman" w:hAnsi="Times New Roman" w:cs="Times New Roman"/>
          <w:sz w:val="24"/>
          <w:szCs w:val="24"/>
          <w:lang w:val="bg-BG"/>
        </w:rPr>
        <w:t>Същите лица са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длъжни да предоставят или актуализират декларацията в 7-дневен срок от настъпване на съответните обстоятелства. </w:t>
      </w:r>
    </w:p>
    <w:p w:rsidR="003A6850" w:rsidRDefault="00FA79B2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СДЕЛКИ С АКЦИИ НА ДРУЖЕСТВОТО </w:t>
      </w:r>
    </w:p>
    <w:p w:rsidR="003A6850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21.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управителните и контролни органи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и лицата, тясно свързани с тях, уведомяват писмено </w:t>
      </w:r>
      <w:r w:rsidR="00C223F3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и Комисията за финансов надзор за сключените за тяхна сметка сделки с акции, издадени от </w:t>
      </w:r>
      <w:r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, или други финансови инструменти, свързани с тези акции, когато в рамките на една календарна година стойността на тези сделки надхвърля 5000 евро.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Уведомяването се извършва в срок 3 работни дни след датата на сделката.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3F3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>дава публичност на полученото уведомление в същия срок.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B2" w:rsidRDefault="003A6850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22.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управителния или контролен орган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не могат да сключват сделки за собствена сметка или за сметка на трета страна, пряко или косвено, по отношение на акциите на </w:t>
      </w:r>
      <w:r w:rsidR="00FA79B2">
        <w:rPr>
          <w:rFonts w:ascii="Times New Roman" w:hAnsi="Times New Roman" w:cs="Times New Roman"/>
          <w:sz w:val="24"/>
          <w:szCs w:val="24"/>
          <w:lang w:val="bg-BG"/>
        </w:rPr>
        <w:t xml:space="preserve">дружеството </w:t>
      </w:r>
      <w:r w:rsidR="004B279A" w:rsidRPr="00C223F3">
        <w:rPr>
          <w:rFonts w:ascii="Times New Roman" w:hAnsi="Times New Roman" w:cs="Times New Roman"/>
          <w:sz w:val="24"/>
          <w:szCs w:val="24"/>
        </w:rPr>
        <w:t>по време на</w:t>
      </w:r>
      <w:r w:rsidR="004B279A" w:rsidRPr="00C22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забранителен период от 30 календарни дни преди обявяването на междинния финансов отчет или годишния доклад за дейността на дружеството. </w:t>
      </w:r>
    </w:p>
    <w:p w:rsidR="00FA79B2" w:rsidRPr="00FA79B2" w:rsidRDefault="00FA79B2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sz w:val="24"/>
          <w:szCs w:val="24"/>
          <w:lang w:val="bg-BG"/>
        </w:rPr>
        <w:t>ЗА ПУБЛИЧНО ПРЕДЛАГАНЕ НА ЦЕННИ КНИЖА</w:t>
      </w:r>
    </w:p>
    <w:p w:rsidR="00FA79B2" w:rsidRDefault="00FA79B2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23.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Когато публикува проспект за предлагане на ценни книжа, холдингът предоставя информация за акционерите със значително участие и данни за сделките със свързани (заинтересовани) лица.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79A" w:rsidRPr="00C223F3">
        <w:rPr>
          <w:rFonts w:ascii="Times New Roman" w:hAnsi="Times New Roman" w:cs="Times New Roman"/>
          <w:sz w:val="24"/>
          <w:szCs w:val="24"/>
        </w:rPr>
        <w:t>Тази информация се публикува и в резюмето на проспекта за публично предлагане на ценни книжа.</w:t>
      </w:r>
      <w:proofErr w:type="gramEnd"/>
      <w:r w:rsidR="004B279A" w:rsidRPr="00C2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B2" w:rsidRDefault="00FA79B2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24.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Когато публикува проспект за предлагане на ценни книжа, </w:t>
      </w:r>
      <w:r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 предоставя информация дали е налице разводняване на стойността на акциите, а именно когато има или би могло да има съществена разлика между цената на ценните книжа при публичното предлагане и цената, която членовете на съвета на директорите или свързани с тях лица са заплатили за акции на емитента през последните 5 години или които те имат правото да придобият, като в този случай се посочва сравнителна информация между цената, по която инвеститорите ще придобият ценни книжа при публичното предлагане, и цената, по която са придобили или ще придобият ценни книжа посочените лица. </w:t>
      </w:r>
    </w:p>
    <w:p w:rsidR="00FA79B2" w:rsidRPr="00FA79B2" w:rsidRDefault="00FA79B2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  <w:lang w:val="bg-BG"/>
        </w:rPr>
        <w:t>ЗА СКЛЮЧЕНИ СДЕЛКИ</w:t>
      </w:r>
    </w:p>
    <w:p w:rsidR="004B279A" w:rsidRPr="00C223F3" w:rsidRDefault="00FA79B2" w:rsidP="00C223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25. </w:t>
      </w:r>
      <w:r w:rsidR="00C223F3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79A" w:rsidRPr="00C223F3">
        <w:rPr>
          <w:rFonts w:ascii="Times New Roman" w:hAnsi="Times New Roman" w:cs="Times New Roman"/>
          <w:sz w:val="24"/>
          <w:szCs w:val="24"/>
        </w:rPr>
        <w:t xml:space="preserve">разкрива своевременна и пълна информация относно предприетите от членовете на съвета на директорите действия по сключване на сделки и/или разпореждане с активи с над определена от закона стойност, за които са </w:t>
      </w:r>
      <w:r w:rsidR="004B279A" w:rsidRPr="00C223F3">
        <w:rPr>
          <w:rFonts w:ascii="Times New Roman" w:hAnsi="Times New Roman" w:cs="Times New Roman"/>
          <w:sz w:val="24"/>
          <w:szCs w:val="24"/>
        </w:rPr>
        <w:lastRenderedPageBreak/>
        <w:t xml:space="preserve">овластени от общото събрание на акционерите, постигнатите резултати и друга важна информация, която не представлява вътрешна информация, в специална секция на интернет страницата на дружеството. </w:t>
      </w:r>
    </w:p>
    <w:sectPr w:rsidR="004B279A" w:rsidRPr="00C223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47"/>
    <w:rsid w:val="000C361E"/>
    <w:rsid w:val="000D626C"/>
    <w:rsid w:val="003A6850"/>
    <w:rsid w:val="00462BF6"/>
    <w:rsid w:val="004B279A"/>
    <w:rsid w:val="00C223F3"/>
    <w:rsid w:val="00F43E47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4</cp:revision>
  <dcterms:created xsi:type="dcterms:W3CDTF">2020-04-01T11:47:00Z</dcterms:created>
  <dcterms:modified xsi:type="dcterms:W3CDTF">2020-04-02T12:07:00Z</dcterms:modified>
</cp:coreProperties>
</file>